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525"/>
        <w:gridCol w:w="685"/>
        <w:gridCol w:w="323"/>
        <w:gridCol w:w="567"/>
        <w:gridCol w:w="450"/>
        <w:gridCol w:w="358"/>
        <w:gridCol w:w="358"/>
        <w:gridCol w:w="578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276" w:type="dxa"/>
            <w:gridSpan w:val="2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2021年市文联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预算项目（政策）绩效目标自评表</w:t>
            </w:r>
            <w:r>
              <w:rPr>
                <w:rFonts w:hint="eastAsia" w:ascii="宋体" w:hAnsi="宋体" w:cs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sz w:val="44"/>
                <w:szCs w:val="4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项目（政策）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eastAsia="zh-CN"/>
              </w:rPr>
              <w:t>《抚顺文艺》杂志及文艺网站运行经费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抚顺市文学艺术界联合会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抚顺市文学艺术界联合会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全年预算数（A）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全年执行数（B）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执行率（B/A)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（分值*B/A）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其中：财政拨款收入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上级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提前告知转移支付资金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纳入预算管理的行政事业性收费等非税收入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纳入政府性基金预算管理收入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纳入专户管理的行政事业性收费等非税收入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上年结转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目标1</w:t>
            </w:r>
            <w:r>
              <w:rPr>
                <w:rFonts w:hint="eastAsia"/>
                <w:color w:val="000000"/>
                <w:lang w:eastAsia="zh-CN"/>
              </w:rPr>
              <w:t>出版《抚顺文艺》杂志</w:t>
            </w:r>
            <w:r>
              <w:rPr>
                <w:rFonts w:hint="eastAsia"/>
                <w:color w:val="000000"/>
                <w:lang w:val="en-US" w:eastAsia="zh-CN"/>
              </w:rPr>
              <w:t>2期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完成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目标2</w:t>
            </w:r>
            <w:r>
              <w:rPr>
                <w:rFonts w:hint="eastAsia"/>
                <w:color w:val="000000"/>
                <w:lang w:eastAsia="zh-CN"/>
              </w:rPr>
              <w:t>运行抚顺文艺网网站</w:t>
            </w:r>
          </w:p>
        </w:tc>
        <w:tc>
          <w:tcPr>
            <w:tcW w:w="39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完成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未完成原因分析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硬件条件保障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eastAsia="zh-CN"/>
              </w:rPr>
              <w:t>出版杂志数量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“=”“≤”“≥”“＜”“＞”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出版杂志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2000册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2000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eastAsia="zh-CN"/>
              </w:rPr>
              <w:t>出版杂志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>期数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出版杂志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2期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3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杂志质量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成品尺寸：190mm*260mm；封皮：4P200g铜版纸双面彩色印刷，2页，覆亮膜；彩页：12P105g铜版纸双面彩色印刷，6页；内文：内页72P70g纯质纸，黑白印刷，有图片；装订形式：左边胶钉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eastAsia="zh-CN"/>
              </w:rPr>
              <w:t>每本杂志页数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0"/>
                <w:szCs w:val="10"/>
                <w:lang w:eastAsia="zh-CN"/>
              </w:rPr>
              <w:t>每期</w:t>
            </w:r>
            <w:r>
              <w:rPr>
                <w:rFonts w:hint="eastAsia"/>
                <w:color w:val="000000"/>
                <w:sz w:val="10"/>
                <w:szCs w:val="10"/>
                <w:lang w:val="en-US" w:eastAsia="zh-CN"/>
              </w:rPr>
              <w:t>72页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时效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eastAsia="zh-CN" w:bidi="ar"/>
              </w:rPr>
              <w:t>及时更新网站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实时更新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eastAsia="zh-CN"/>
              </w:rPr>
              <w:t>交付杂志时间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定稿后一周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成本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</w:rPr>
              <w:t>指标1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</w:rPr>
              <w:t>指标2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经济效益指标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eastAsia="zh-CN"/>
              </w:rPr>
              <w:t>发放稿费人数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发放稿费人数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社会效益指标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eastAsia="zh-CN"/>
              </w:rPr>
              <w:t>对我市文艺创作、发展的影响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生态效益指标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</w:rPr>
              <w:t>指标1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</w:rPr>
              <w:t>指标2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可持续影响指标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  <w:lang w:eastAsia="zh-CN"/>
              </w:rPr>
              <w:t>提高杂志读者满意度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  <w:lang w:eastAsia="zh-CN"/>
              </w:rPr>
              <w:t>提高杂志读者满意度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服务对象满意度指标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文学爱好者的满意度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文学爱好者的满意度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98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参加培训人员的满意度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参加培训人员的满意度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98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产出、效益、满意度指标自评得分小计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（C）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2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预算执行率得分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（D）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4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绩效自评总得分（C+D）</w:t>
            </w:r>
          </w:p>
        </w:tc>
        <w:tc>
          <w:tcPr>
            <w:tcW w:w="47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7" w:bottom="1701" w:left="1417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48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2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e&#10;/Zcj0AAAAAMBAAAPAAAAAAAAAAEAIAAAACIAAABkcnMvZG93bnJldi54bWxQSwECFAAUAAAACACH&#10;TuJA8tTzOroBAABS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02A7A"/>
    <w:rsid w:val="0DF02A7A"/>
    <w:rsid w:val="27863293"/>
    <w:rsid w:val="620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2022-08-04T07:15:00Z</dcterms:created>
  <dc:creator>WPS_1559730978</dc:creator>
  <cp:lastModifiedBy>WPS_1559730978</cp:lastModifiedBy>
  <cp:lastPrinted>2022-08-05T01:06:03Z</cp:lastPrinted>
  <dcterms:modified xsi:type="dcterms:W3CDTF">2022-08-05T01:20:27Z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